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8"/>
        <w:spacing w:lineRule="auto" w:line="360" w:before="240" w:after="120"/>
        <w:ind w:left="0" w:right="0" w:hanging="0"/>
        <w:rPr>
          <w:b w:val="false"/>
          <w:b w:val="false"/>
          <w:bCs w:val="false"/>
          <w:i w:val="false"/>
          <w:i w:val="false"/>
          <w:iCs w:val="false"/>
        </w:rPr>
      </w:pPr>
      <w:r>
        <w:rPr>
          <w:rFonts w:cs="Times New Roman" w:ascii="Times New Roman" w:hAnsi="Times New Roman"/>
          <w:b w:val="false"/>
          <w:bCs w:val="false"/>
          <w:i w:val="false"/>
          <w:iCs w:val="false"/>
          <w:sz w:val="24"/>
          <w:szCs w:val="24"/>
        </w:rPr>
        <w:t>УДК 81</w:t>
      </w:r>
    </w:p>
    <w:p>
      <w:pPr>
        <w:pStyle w:val="Style28"/>
        <w:spacing w:lineRule="auto" w:line="360" w:before="240" w:after="120"/>
        <w:ind w:left="0" w:right="0" w:hanging="0"/>
        <w:rPr/>
      </w:pPr>
      <w:r>
        <w:rPr>
          <w:rFonts w:eastAsia="Microsoft YaHei" w:cs="Times New Roman" w:ascii="Times New Roman" w:hAnsi="Times New Roman"/>
          <w:b/>
          <w:bCs/>
          <w:i/>
          <w:iCs/>
          <w:color w:val="auto"/>
          <w:kern w:val="2"/>
          <w:sz w:val="24"/>
          <w:szCs w:val="24"/>
          <w:lang w:val="ru-RU" w:eastAsia="zh-CN" w:bidi="hi-IN"/>
        </w:rPr>
        <w:t>И. И. Кириллова</w:t>
      </w:r>
      <w:r>
        <w:rPr>
          <w:rFonts w:cs="Times New Roman" w:ascii="Times New Roman" w:hAnsi="Times New Roman"/>
          <w:b/>
          <w:bCs/>
          <w:i/>
          <w:iCs/>
          <w:sz w:val="24"/>
          <w:szCs w:val="24"/>
        </w:rPr>
        <w:t>,</w:t>
      </w:r>
      <w:r>
        <w:rPr>
          <w:rFonts w:eastAsia="Times New Roman" w:cs="Times New Roman" w:ascii="Times New Roman" w:hAnsi="Times New Roman"/>
          <w:b/>
          <w:bCs/>
          <w:i/>
          <w:iCs/>
          <w:sz w:val="24"/>
          <w:szCs w:val="24"/>
        </w:rPr>
        <w:br/>
      </w:r>
      <w:r>
        <w:rPr>
          <w:rFonts w:eastAsia="Microsoft YaHei" w:cs="Times New Roman" w:ascii="Times New Roman" w:hAnsi="Times New Roman"/>
          <w:bCs/>
          <w:i/>
          <w:iCs/>
          <w:color w:val="auto"/>
          <w:kern w:val="2"/>
          <w:sz w:val="24"/>
          <w:szCs w:val="24"/>
          <w:lang w:val="ru-RU" w:eastAsia="zh-CN" w:bidi="hi-IN"/>
        </w:rPr>
        <w:t>старший преподаватель</w:t>
      </w:r>
      <w:r>
        <w:rPr>
          <w:rFonts w:cs="Times New Roman" w:ascii="Times New Roman" w:hAnsi="Times New Roman"/>
          <w:bCs/>
          <w:i/>
          <w:iCs/>
          <w:sz w:val="24"/>
          <w:szCs w:val="24"/>
        </w:rPr>
        <w:t xml:space="preserve"> кафедры иностранных языков №4</w:t>
        <w:br/>
        <w:t xml:space="preserve">Института филологии </w:t>
        <w:br/>
      </w:r>
      <w:r>
        <w:rPr>
          <w:rFonts w:cs="Times New Roman" w:ascii="Times New Roman" w:hAnsi="Times New Roman"/>
          <w:i/>
          <w:iCs/>
          <w:sz w:val="24"/>
          <w:szCs w:val="24"/>
        </w:rPr>
        <w:t xml:space="preserve">Крымский федеральный университет имени В. И. Вернадского, </w:t>
        <w:br/>
        <w:t>Симферополь</w:t>
      </w:r>
    </w:p>
    <w:p>
      <w:pPr>
        <w:pStyle w:val="Style20"/>
        <w:spacing w:lineRule="auto" w:line="360" w:before="240" w:after="120"/>
        <w:ind w:left="0" w:right="0" w:hanging="0"/>
        <w:rPr/>
      </w:pPr>
      <w:r>
        <w:rPr>
          <w:rFonts w:cs="Times New Roman" w:ascii="Times New Roman" w:hAnsi="Times New Roman"/>
          <w:b/>
          <w:bCs/>
          <w:i/>
          <w:iCs/>
          <w:sz w:val="24"/>
          <w:szCs w:val="24"/>
        </w:rPr>
        <w:t>Е. А. Сирица</w:t>
        <w:br/>
      </w:r>
      <w:r>
        <w:rPr>
          <w:rFonts w:cs="Times New Roman" w:ascii="Times New Roman" w:hAnsi="Times New Roman"/>
          <w:b w:val="false"/>
          <w:bCs w:val="false"/>
          <w:i/>
          <w:iCs/>
          <w:sz w:val="24"/>
          <w:szCs w:val="24"/>
        </w:rPr>
        <w:t>старший преподаватель кафедры иностранных языков №4</w:t>
        <w:br/>
        <w:t>Института филологии</w:t>
        <w:br/>
        <w:t xml:space="preserve">Крымский федеральный университет имени В. И. Вернадского, </w:t>
        <w:br/>
        <w:t>Симферополь</w:t>
      </w:r>
    </w:p>
    <w:p>
      <w:pPr>
        <w:pStyle w:val="Style20"/>
        <w:spacing w:lineRule="auto" w:line="360" w:before="240" w:after="120"/>
        <w:ind w:left="0" w:right="0" w:hanging="0"/>
        <w:rPr/>
      </w:pPr>
      <w:r>
        <w:rPr>
          <w:rFonts w:cs="Times New Roman" w:ascii="Times New Roman" w:hAnsi="Times New Roman"/>
          <w:b/>
          <w:bCs/>
          <w:i/>
          <w:iCs/>
          <w:sz w:val="24"/>
          <w:szCs w:val="24"/>
        </w:rPr>
        <w:t xml:space="preserve">Д. А. Лучков, </w:t>
      </w:r>
      <w:r>
        <w:rPr>
          <w:rFonts w:cs="Times New Roman" w:ascii="Times New Roman" w:hAnsi="Times New Roman"/>
          <w:i/>
          <w:iCs/>
          <w:sz w:val="24"/>
          <w:szCs w:val="24"/>
        </w:rPr>
        <w:br/>
        <w:t xml:space="preserve">обучающийся второго медицинского факультета «Лечебное дело», </w:t>
        <w:br/>
        <w:t xml:space="preserve">Медицинская академия имени С. И. Георгиевского (сп), </w:t>
        <w:br/>
        <w:t xml:space="preserve">Крымский федеральный университет имени В. И. Вернадского, </w:t>
        <w:br/>
        <w:t>Симферополь</w:t>
      </w:r>
    </w:p>
    <w:p>
      <w:pPr>
        <w:pStyle w:val="Style20"/>
        <w:spacing w:lineRule="auto" w:line="360" w:before="240" w:after="120"/>
        <w:ind w:left="0" w:right="0" w:hanging="0"/>
        <w:rPr>
          <w:rFonts w:ascii="Times New Roman" w:hAnsi="Times New Roman" w:cs="Times New Roman"/>
          <w:i/>
          <w:i/>
          <w:iCs/>
          <w:sz w:val="24"/>
          <w:szCs w:val="24"/>
        </w:rPr>
      </w:pPr>
      <w:r>
        <w:rPr/>
      </w:r>
    </w:p>
    <w:p>
      <w:pPr>
        <w:pStyle w:val="Style20"/>
        <w:spacing w:lineRule="auto" w:line="360" w:before="240" w:after="120"/>
        <w:ind w:left="0" w:right="0" w:hanging="0"/>
        <w:jc w:val="center"/>
        <w:rPr/>
      </w:pPr>
      <w:r>
        <w:rPr>
          <w:rFonts w:cs="Times New Roman" w:ascii="Times New Roman" w:hAnsi="Times New Roman"/>
          <w:b/>
          <w:bCs/>
          <w:sz w:val="24"/>
          <w:szCs w:val="24"/>
        </w:rPr>
        <w:t>ОСОБЕННОСТИ МЕДИЦИНСКОГО РЕЦЕПТА В АНГЛОЯЗЫЧНЫХ СТРАНАХ</w:t>
      </w:r>
    </w:p>
    <w:p>
      <w:pPr>
        <w:pStyle w:val="Style20"/>
        <w:spacing w:lineRule="auto" w:line="360" w:before="240" w:after="120"/>
        <w:ind w:left="0" w:right="0" w:firstLine="709"/>
        <w:jc w:val="both"/>
        <w:rPr/>
      </w:pPr>
      <w:r>
        <w:rPr>
          <w:rFonts w:cs="Times New Roman" w:ascii="Times New Roman" w:hAnsi="Times New Roman"/>
          <w:sz w:val="24"/>
          <w:szCs w:val="24"/>
        </w:rPr>
        <w:t>В данной статье рассматриваются особенности  медицинских рецептов</w:t>
      </w:r>
      <w:r>
        <w:rPr>
          <w:rFonts w:cs="Times New Roman" w:ascii="Times New Roman" w:hAnsi="Times New Roman"/>
          <w:sz w:val="24"/>
          <w:szCs w:val="24"/>
          <w:shd w:fill="FFFFFF" w:val="clear"/>
        </w:rPr>
        <w:t xml:space="preserve"> на английском языке. </w:t>
      </w:r>
      <w:r>
        <w:rPr>
          <w:rFonts w:cs="Times New Roman" w:ascii="Times New Roman" w:hAnsi="Times New Roman"/>
          <w:sz w:val="24"/>
          <w:szCs w:val="24"/>
        </w:rPr>
        <w:t>Цель работы заключается в выявлении и анализе лингвистических особенностей медицинских рецептов в различных странах, основанных на лексико-семантическом анализе структуры и терминологической лексики, на основании чего допустимо изложить аналитические суждения о состоянии иностранной медицинской рецептуры. В данном исследовании были изучены соответствующие англоязычные медицинские рецепты и был проведён анализ для установления особенностей и частоты встречаемости различных частей речи. Представлены различные виды рецептов  с соответствующими им особенностями, в том числе лингвистическими и лексико-стилистическими.</w:t>
      </w:r>
    </w:p>
    <w:p>
      <w:pPr>
        <w:pStyle w:val="Style20"/>
        <w:spacing w:lineRule="auto" w:line="360" w:before="240" w:after="120"/>
        <w:ind w:left="0" w:right="0" w:firstLine="709"/>
        <w:jc w:val="both"/>
        <w:rPr/>
      </w:pPr>
      <w:r>
        <w:rPr>
          <w:rFonts w:cs="Times New Roman" w:ascii="Times New Roman" w:hAnsi="Times New Roman"/>
          <w:b/>
          <w:bCs/>
          <w:sz w:val="24"/>
          <w:szCs w:val="24"/>
        </w:rPr>
        <w:t xml:space="preserve">Ключевые слова: </w:t>
      </w:r>
      <w:r>
        <w:rPr>
          <w:rFonts w:cs="Times New Roman" w:ascii="Times New Roman" w:hAnsi="Times New Roman"/>
          <w:sz w:val="24"/>
          <w:szCs w:val="24"/>
        </w:rPr>
        <w:t>медицинский рецепт, лексический анализ, медицинская терминология, существительное, числительное, наречие.</w:t>
      </w:r>
    </w:p>
    <w:p>
      <w:pPr>
        <w:pStyle w:val="Style28"/>
        <w:spacing w:lineRule="auto" w:line="360"/>
        <w:ind w:left="0" w:right="0" w:hanging="0"/>
        <w:jc w:val="center"/>
        <w:rPr>
          <w:sz w:val="24"/>
          <w:szCs w:val="24"/>
        </w:rPr>
      </w:pPr>
      <w:bookmarkStart w:id="0" w:name="tw-target-text"/>
      <w:bookmarkEnd w:id="0"/>
      <w:r>
        <w:rPr>
          <w:rFonts w:cs="Times New Roman" w:ascii="Times New Roman" w:hAnsi="Times New Roman"/>
          <w:b/>
          <w:bCs/>
          <w:color w:val="202124"/>
          <w:sz w:val="24"/>
          <w:szCs w:val="24"/>
          <w:lang w:val="en-US"/>
        </w:rPr>
        <w:t>FEATURES OF A MEDICAL RECIPE IN ENGLISH SPEAKING COUNTRIES</w:t>
      </w:r>
    </w:p>
    <w:p>
      <w:pPr>
        <w:pStyle w:val="Style28"/>
        <w:spacing w:lineRule="auto" w:line="360"/>
        <w:jc w:val="both"/>
        <w:rPr>
          <w:sz w:val="24"/>
          <w:szCs w:val="24"/>
        </w:rPr>
      </w:pPr>
      <w:r>
        <w:rPr>
          <w:rFonts w:cs="Times New Roman" w:ascii="Times New Roman" w:hAnsi="Times New Roman"/>
          <w:sz w:val="24"/>
          <w:szCs w:val="24"/>
          <w:lang w:val="en-US"/>
        </w:rPr>
        <w:t>This article examines the features of medical prescriptions in international practice. The purpose of the work is to identify and analyze the linguistic features of medical prescriptions in different countries, based on the lexical and semantic analysis of the structure and terminological vocabulary, on the basis of which to present analytical judgments about the state of foreign medical prescriptions. To achieve this goal, the corresponding foreign medical prescriptions were studied and an analysis was carried out to establish the characteristics and frequency of occurrence of various parts of speech. Various types of recipes with their corresponding features, including linguistic and lexico-stylistic, are presented.</w:t>
      </w:r>
    </w:p>
    <w:p>
      <w:pPr>
        <w:pStyle w:val="Style28"/>
        <w:spacing w:lineRule="auto" w:line="360"/>
        <w:jc w:val="both"/>
        <w:rPr>
          <w:sz w:val="24"/>
          <w:szCs w:val="24"/>
        </w:rPr>
      </w:pPr>
      <w:r>
        <w:rPr>
          <w:rFonts w:cs="Times New Roman" w:ascii="Times New Roman" w:hAnsi="Times New Roman"/>
          <w:b/>
          <w:bCs/>
          <w:sz w:val="24"/>
          <w:szCs w:val="24"/>
          <w:lang w:val="en-US"/>
        </w:rPr>
        <w:t>Key words:</w:t>
      </w:r>
      <w:r>
        <w:rPr>
          <w:rFonts w:cs="Times New Roman" w:ascii="Times New Roman" w:hAnsi="Times New Roman"/>
          <w:sz w:val="24"/>
          <w:szCs w:val="24"/>
          <w:lang w:val="en-US"/>
        </w:rPr>
        <w:t xml:space="preserve"> medical prescription, lexical analysis, medical terminology, noun, numeral, adverb.</w:t>
      </w:r>
    </w:p>
    <w:p>
      <w:pPr>
        <w:pStyle w:val="Style28"/>
        <w:spacing w:lineRule="auto" w:line="36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ind w:firstLine="709"/>
        <w:jc w:val="both"/>
        <w:rPr>
          <w:sz w:val="24"/>
          <w:szCs w:val="24"/>
        </w:rPr>
      </w:pPr>
      <w:r>
        <w:rPr>
          <w:rFonts w:cs="Times New Roman" w:ascii="Times New Roman" w:hAnsi="Times New Roman"/>
          <w:color w:val="000000"/>
          <w:sz w:val="24"/>
          <w:szCs w:val="24"/>
        </w:rPr>
        <w:t>Медицинские рецепты во многих странах и</w:t>
      </w:r>
      <w:r>
        <w:rPr>
          <w:rFonts w:cs="Times New Roman" w:ascii="Times New Roman" w:hAnsi="Times New Roman"/>
          <w:color w:val="000000"/>
          <w:sz w:val="24"/>
          <w:szCs w:val="24"/>
          <w:shd w:fill="FFFFFF" w:val="clear"/>
        </w:rPr>
        <w:t>меют с</w:t>
      </w:r>
      <w:r>
        <w:rPr>
          <w:rFonts w:cs="Times New Roman" w:ascii="Times New Roman" w:hAnsi="Times New Roman"/>
          <w:sz w:val="24"/>
          <w:szCs w:val="24"/>
        </w:rPr>
        <w:t xml:space="preserve">овершенно разные форматы, сходные лишь в своей концепции и основной идее, отличия у каждого вида рецептов могут варьироваться между разными особенностями, начиная различиями в порядке указания веществ и заканчивая коренными изменениями структуры врачебных предписаний. </w:t>
      </w:r>
      <w:r>
        <w:rPr>
          <w:rFonts w:cs="Times New Roman" w:ascii="Times New Roman" w:hAnsi="Times New Roman"/>
          <w:sz w:val="24"/>
          <w:szCs w:val="24"/>
          <w:shd w:fill="FFFFFF" w:val="clear"/>
        </w:rPr>
        <w:t>Используя рецептурную форму, врач указывает необходимые в терапии лекарства для пациента, а фармацевтический работник выдаёт его в указанном порядке. Ошибка на этап</w:t>
      </w:r>
      <w:r>
        <w:rPr>
          <w:rFonts w:cs="Times New Roman" w:ascii="Times New Roman" w:hAnsi="Times New Roman"/>
          <w:sz w:val="24"/>
          <w:szCs w:val="24"/>
        </w:rPr>
        <w:t>е предписания может понести негативные последствия в лечении пациента</w:t>
      </w:r>
      <w:r>
        <w:rPr>
          <w:rFonts w:cs="Times New Roman" w:ascii="Times New Roman" w:hAnsi="Times New Roman"/>
          <w:color w:val="000000"/>
          <w:sz w:val="24"/>
          <w:szCs w:val="24"/>
        </w:rPr>
        <w:t>.</w:t>
      </w:r>
    </w:p>
    <w:p>
      <w:pPr>
        <w:pStyle w:val="Normal"/>
        <w:spacing w:lineRule="auto" w:line="360"/>
        <w:ind w:firstLine="709"/>
        <w:jc w:val="both"/>
        <w:rPr>
          <w:sz w:val="24"/>
          <w:szCs w:val="24"/>
        </w:rPr>
      </w:pPr>
      <w:r>
        <w:rPr>
          <w:rFonts w:cs="Times New Roman" w:ascii="Times New Roman" w:hAnsi="Times New Roman"/>
          <w:color w:val="000000"/>
          <w:sz w:val="24"/>
          <w:szCs w:val="24"/>
        </w:rPr>
        <w:t>На данный момент в медицинской рецептуре недостаточно исследована лингвистическая составляющая. Существует неопределённость в отношении к латинскому языку, который вариативно встречается или не встречается в различных источниках. Отсутствует международный стандарт, по которому должен строго оформляться каждый рецепт. Существует проблема допущения ошибок при написании рецептов, что постепенно исключается методом перехода врачебных предписаний на электронный формат. Данные проблемы актуальны, поскольку медицинские рецепты применяются повсеместно во многих клиниках, что способствует точному выполнению предписаний, поскольку неточности в данном тексте могут привести к негативным последствиям в терапии.</w:t>
      </w:r>
    </w:p>
    <w:p>
      <w:pPr>
        <w:pStyle w:val="Normal"/>
        <w:spacing w:lineRule="auto" w:line="360"/>
        <w:ind w:firstLine="709"/>
        <w:jc w:val="both"/>
        <w:rPr/>
      </w:pPr>
      <w:r>
        <w:rPr>
          <w:rFonts w:cs="Times New Roman" w:ascii="Times New Roman" w:hAnsi="Times New Roman"/>
          <w:shd w:fill="FFFFFF" w:val="clear"/>
        </w:rPr>
        <w:t>Рецепты имеют разную структуру в зависимости от своего происхождения, но есть элементы, которые являются основными и встречаются практически в к</w:t>
      </w:r>
      <w:bookmarkStart w:id="1" w:name="_GoBack"/>
      <w:r>
        <w:rPr>
          <w:rFonts w:cs="Times New Roman" w:ascii="Times New Roman" w:hAnsi="Times New Roman"/>
          <w:shd w:fill="FFFFFF" w:val="clear"/>
        </w:rPr>
        <w:t>аждом врачебном предписании. Среди таких выделяют надпись с наимено</w:t>
      </w:r>
      <w:bookmarkEnd w:id="1"/>
      <w:r>
        <w:rPr>
          <w:rFonts w:cs="Times New Roman" w:ascii="Times New Roman" w:hAnsi="Times New Roman"/>
          <w:shd w:fill="FFFFFF" w:val="clear"/>
        </w:rPr>
        <w:t>ванием лечебного учреждения, дату прописывания рецепта, фамилию и инициалы пациента, его возраст, фамилию и инициалы врача, обозначение медикаментов с указанием их точного количества, различные указания фармацевту и также способ применения лекарства [</w:t>
      </w:r>
      <w:r>
        <w:rPr>
          <w:rFonts w:eastAsia="NSimSun" w:cs="Times New Roman" w:ascii="Times New Roman" w:hAnsi="Times New Roman"/>
          <w:color w:val="000000"/>
          <w:kern w:val="2"/>
          <w:sz w:val="24"/>
          <w:szCs w:val="24"/>
          <w:shd w:fill="FFFFFF" w:val="clear"/>
          <w:lang w:val="ru-RU" w:eastAsia="zh-CN" w:bidi="hi-IN"/>
        </w:rPr>
        <w:t>3</w:t>
      </w:r>
      <w:r>
        <w:rPr>
          <w:rFonts w:cs="Times New Roman" w:ascii="Times New Roman" w:hAnsi="Times New Roman"/>
          <w:shd w:fill="FFFFFF" w:val="clear"/>
        </w:rPr>
        <w:t>].</w:t>
      </w:r>
      <w:r>
        <w:rPr/>
        <w:t xml:space="preserve"> </w:t>
      </w:r>
      <w:r>
        <w:rPr>
          <w:rFonts w:cs="Times New Roman" w:ascii="Times New Roman" w:hAnsi="Times New Roman"/>
        </w:rPr>
        <w:t>Англоязычные рецепты оформляются на специальных бланках, на которых ведётся описание всех важных показателей пациента, включая возраст, пол и аллергии. Оформляются такие рецепты с  полным указанием того, как принимать лекарство, в какое время и в каком порядке [</w:t>
      </w:r>
      <w:r>
        <w:rPr>
          <w:rFonts w:eastAsia="NSimSun" w:cs="Times New Roman" w:ascii="Times New Roman" w:hAnsi="Times New Roman"/>
          <w:color w:val="auto"/>
          <w:kern w:val="2"/>
          <w:sz w:val="24"/>
          <w:szCs w:val="24"/>
          <w:lang w:val="ru-RU" w:eastAsia="zh-CN" w:bidi="hi-IN"/>
        </w:rPr>
        <w:t>7</w:t>
      </w:r>
      <w:r>
        <w:rPr>
          <w:rFonts w:cs="Times New Roman" w:ascii="Times New Roman" w:hAnsi="Times New Roman"/>
        </w:rPr>
        <w:t>].</w:t>
      </w:r>
    </w:p>
    <w:p>
      <w:pPr>
        <w:pStyle w:val="Normal"/>
        <w:spacing w:lineRule="auto" w:line="360"/>
        <w:ind w:firstLine="709"/>
        <w:jc w:val="both"/>
        <w:rPr/>
      </w:pPr>
      <w:r>
        <w:rPr>
          <w:rFonts w:cs="Times New Roman" w:ascii="Times New Roman" w:hAnsi="Times New Roman"/>
        </w:rPr>
        <w:t>Лексический анализ [</w:t>
      </w:r>
      <w:r>
        <w:rPr>
          <w:rFonts w:eastAsia="NSimSun" w:cs="Times New Roman" w:ascii="Times New Roman" w:hAnsi="Times New Roman"/>
          <w:color w:val="auto"/>
          <w:kern w:val="2"/>
          <w:sz w:val="24"/>
          <w:szCs w:val="24"/>
          <w:lang w:val="ru-RU" w:eastAsia="zh-CN" w:bidi="hi-IN"/>
        </w:rPr>
        <w:t>2</w:t>
      </w:r>
      <w:r>
        <w:rPr>
          <w:rFonts w:cs="Times New Roman" w:ascii="Times New Roman" w:hAnsi="Times New Roman"/>
        </w:rPr>
        <w:t xml:space="preserve">] английских рецептов показал, какие составляющие части речи обычно входят в состав медицинского рецепта (См. таблицу 1). При составлении статистики было проанализировано 20 медицинских рецептов. Источниками послужили рецепты </w:t>
      </w:r>
      <w:r>
        <w:rPr>
          <w:rFonts w:cs="Times New Roman" w:ascii="Times New Roman" w:hAnsi="Times New Roman"/>
          <w:lang w:val="en-US"/>
        </w:rPr>
        <w:t>A</w:t>
      </w:r>
      <w:r>
        <w:rPr>
          <w:rFonts w:cs="Times New Roman" w:ascii="Times New Roman" w:hAnsi="Times New Roman"/>
        </w:rPr>
        <w:t>&amp;</w:t>
      </w:r>
      <w:r>
        <w:rPr>
          <w:rFonts w:cs="Times New Roman" w:ascii="Times New Roman" w:hAnsi="Times New Roman"/>
          <w:lang w:val="en-US"/>
        </w:rPr>
        <w:t>E</w:t>
      </w:r>
      <w:r>
        <w:rPr>
          <w:rFonts w:cs="Times New Roman" w:ascii="Times New Roman" w:hAnsi="Times New Roman"/>
        </w:rPr>
        <w:t xml:space="preserve"> </w:t>
      </w:r>
      <w:r>
        <w:rPr>
          <w:rFonts w:cs="Times New Roman" w:ascii="Times New Roman" w:hAnsi="Times New Roman"/>
          <w:lang w:val="en-US"/>
        </w:rPr>
        <w:t>Prescription</w:t>
      </w:r>
      <w:r>
        <w:rPr>
          <w:rFonts w:cs="Times New Roman" w:ascii="Times New Roman" w:hAnsi="Times New Roman"/>
        </w:rPr>
        <w:t xml:space="preserve"> и </w:t>
      </w:r>
      <w:r>
        <w:rPr>
          <w:rFonts w:cs="Times New Roman" w:ascii="Times New Roman" w:hAnsi="Times New Roman"/>
          <w:lang w:val="en-US"/>
        </w:rPr>
        <w:t>Northern</w:t>
      </w:r>
      <w:r>
        <w:rPr>
          <w:rFonts w:cs="Times New Roman" w:ascii="Times New Roman" w:hAnsi="Times New Roman"/>
        </w:rPr>
        <w:t xml:space="preserve"> </w:t>
      </w:r>
      <w:r>
        <w:rPr>
          <w:rFonts w:cs="Times New Roman" w:ascii="Times New Roman" w:hAnsi="Times New Roman"/>
          <w:lang w:val="en-US"/>
        </w:rPr>
        <w:t>Ireland</w:t>
      </w:r>
      <w:r>
        <w:rPr>
          <w:rFonts w:cs="Times New Roman" w:ascii="Times New Roman" w:hAnsi="Times New Roman"/>
        </w:rPr>
        <w:t xml:space="preserve"> </w:t>
      </w:r>
      <w:r>
        <w:rPr>
          <w:rFonts w:cs="Times New Roman" w:ascii="Times New Roman" w:hAnsi="Times New Roman"/>
          <w:lang w:val="en-US"/>
        </w:rPr>
        <w:t>Health</w:t>
      </w:r>
      <w:r>
        <w:rPr>
          <w:rFonts w:cs="Times New Roman" w:ascii="Times New Roman" w:hAnsi="Times New Roman"/>
        </w:rPr>
        <w:t xml:space="preserve"> </w:t>
      </w:r>
      <w:r>
        <w:rPr>
          <w:rFonts w:cs="Times New Roman" w:ascii="Times New Roman" w:hAnsi="Times New Roman"/>
          <w:lang w:val="en-US"/>
        </w:rPr>
        <w:t>Service</w:t>
      </w:r>
      <w:r>
        <w:rPr>
          <w:rFonts w:cs="Times New Roman" w:ascii="Times New Roman" w:hAnsi="Times New Roman"/>
        </w:rPr>
        <w:t xml:space="preserve">. </w:t>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Таблица 1</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Лексический состав английского медицинского рецепта</w:t>
      </w:r>
    </w:p>
    <w:tbl>
      <w:tblPr>
        <w:tblW w:w="9369" w:type="dxa"/>
        <w:jc w:val="left"/>
        <w:tblInd w:w="-61" w:type="dxa"/>
        <w:tblLayout w:type="fixed"/>
        <w:tblCellMar>
          <w:top w:w="55" w:type="dxa"/>
          <w:left w:w="55" w:type="dxa"/>
          <w:bottom w:w="55" w:type="dxa"/>
          <w:right w:w="55" w:type="dxa"/>
        </w:tblCellMar>
      </w:tblPr>
      <w:tblGrid>
        <w:gridCol w:w="4679"/>
        <w:gridCol w:w="4689"/>
      </w:tblGrid>
      <w:tr>
        <w:trPr/>
        <w:tc>
          <w:tcPr>
            <w:tcW w:w="4679" w:type="dxa"/>
            <w:tcBorders>
              <w:top w:val="single" w:sz="2" w:space="0" w:color="000000"/>
              <w:left w:val="single" w:sz="2" w:space="0" w:color="000000"/>
              <w:bottom w:val="single" w:sz="2" w:space="0" w:color="000000"/>
            </w:tcBorders>
          </w:tcPr>
          <w:p>
            <w:pPr>
              <w:pStyle w:val="Style29"/>
              <w:widowControl w:val="false"/>
              <w:suppressAutoHyphens w:val="true"/>
              <w:spacing w:lineRule="auto" w:line="360"/>
              <w:jc w:val="center"/>
              <w:rPr>
                <w:sz w:val="24"/>
                <w:szCs w:val="24"/>
              </w:rPr>
            </w:pPr>
            <w:r>
              <w:rPr>
                <w:rFonts w:eastAsia="Times New Roman" w:cs="Times New Roman" w:ascii="Times New Roman" w:hAnsi="Times New Roman"/>
                <w:b/>
                <w:bCs/>
                <w:kern w:val="0"/>
                <w:sz w:val="24"/>
                <w:szCs w:val="24"/>
              </w:rPr>
              <w:t xml:space="preserve"> </w:t>
            </w:r>
            <w:r>
              <w:rPr>
                <w:rFonts w:cs="Times New Roman" w:ascii="Times New Roman" w:hAnsi="Times New Roman"/>
                <w:b/>
                <w:bCs/>
                <w:kern w:val="0"/>
                <w:sz w:val="24"/>
                <w:szCs w:val="24"/>
              </w:rPr>
              <w:t>Части речи</w:t>
            </w:r>
          </w:p>
        </w:tc>
        <w:tc>
          <w:tcPr>
            <w:tcW w:w="4689" w:type="dxa"/>
            <w:tcBorders>
              <w:top w:val="single" w:sz="2" w:space="0" w:color="000000"/>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b/>
                <w:b/>
                <w:bCs/>
                <w:kern w:val="0"/>
                <w:sz w:val="24"/>
                <w:szCs w:val="24"/>
              </w:rPr>
            </w:pPr>
            <w:r>
              <w:rPr>
                <w:rFonts w:cs="Times New Roman" w:ascii="Times New Roman" w:hAnsi="Times New Roman"/>
                <w:b/>
                <w:bCs/>
                <w:kern w:val="0"/>
                <w:sz w:val="24"/>
                <w:szCs w:val="24"/>
              </w:rPr>
              <w:t>Частота встречаемости (%)</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Существительное</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42,2</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Числительное</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31,4</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Наречие</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5,7</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Аббревиатура</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2,9</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Служебные части речи</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8,6</w:t>
            </w:r>
          </w:p>
        </w:tc>
      </w:tr>
      <w:tr>
        <w:trPr/>
        <w:tc>
          <w:tcPr>
            <w:tcW w:w="4679" w:type="dxa"/>
            <w:tcBorders>
              <w:left w:val="single" w:sz="2" w:space="0" w:color="000000"/>
              <w:bottom w:val="single" w:sz="2" w:space="0" w:color="000000"/>
            </w:tcBorders>
          </w:tcPr>
          <w:p>
            <w:pPr>
              <w:pStyle w:val="Style29"/>
              <w:widowControl w:val="false"/>
              <w:suppressAutoHyphens w:val="true"/>
              <w:spacing w:lineRule="auto" w:line="360"/>
              <w:rPr>
                <w:rFonts w:ascii="Times New Roman" w:hAnsi="Times New Roman" w:cs="Times New Roman"/>
                <w:kern w:val="0"/>
                <w:sz w:val="24"/>
                <w:szCs w:val="24"/>
              </w:rPr>
            </w:pPr>
            <w:r>
              <w:rPr>
                <w:rFonts w:cs="Times New Roman" w:ascii="Times New Roman" w:hAnsi="Times New Roman"/>
                <w:kern w:val="0"/>
                <w:sz w:val="24"/>
                <w:szCs w:val="24"/>
              </w:rPr>
              <w:t>Глаголы</w:t>
            </w:r>
          </w:p>
        </w:tc>
        <w:tc>
          <w:tcPr>
            <w:tcW w:w="4689" w:type="dxa"/>
            <w:tcBorders>
              <w:left w:val="single" w:sz="2" w:space="0" w:color="000000"/>
              <w:bottom w:val="single" w:sz="2" w:space="0" w:color="000000"/>
              <w:right w:val="single" w:sz="2" w:space="0" w:color="000000"/>
            </w:tcBorders>
          </w:tcPr>
          <w:p>
            <w:pPr>
              <w:pStyle w:val="Style29"/>
              <w:widowControl w:val="false"/>
              <w:suppressAutoHyphens w:val="true"/>
              <w:spacing w:lineRule="auto" w:line="360"/>
              <w:jc w:val="center"/>
              <w:rPr>
                <w:rFonts w:ascii="Times New Roman" w:hAnsi="Times New Roman" w:cs="Times New Roman"/>
                <w:kern w:val="0"/>
                <w:sz w:val="24"/>
                <w:szCs w:val="24"/>
              </w:rPr>
            </w:pPr>
            <w:r>
              <w:rPr>
                <w:rFonts w:cs="Times New Roman" w:ascii="Times New Roman" w:hAnsi="Times New Roman"/>
                <w:kern w:val="0"/>
                <w:sz w:val="24"/>
                <w:szCs w:val="24"/>
              </w:rPr>
              <w:t>9,2</w:t>
            </w:r>
          </w:p>
        </w:tc>
      </w:tr>
    </w:tbl>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9"/>
        <w:jc w:val="both"/>
        <w:rPr/>
      </w:pPr>
      <w:r>
        <w:rPr>
          <w:rFonts w:cs="Times New Roman" w:ascii="Times New Roman" w:hAnsi="Times New Roman"/>
          <w:sz w:val="24"/>
          <w:szCs w:val="24"/>
          <w:shd w:fill="FFFFFF" w:val="clear"/>
        </w:rPr>
        <w:t xml:space="preserve">Несмотря на отсутствие латинского языка в качестве основного компонента рецепта, найти его в них всё ещё можно. Сделать это можно в латинских сокращениях, которые можно обнаружить. Существуют такие сокращения, как </w:t>
      </w:r>
      <w:r>
        <w:rPr>
          <w:rFonts w:cs="Times New Roman" w:ascii="Times New Roman" w:hAnsi="Times New Roman"/>
          <w:sz w:val="24"/>
          <w:szCs w:val="24"/>
          <w:shd w:fill="FFFFFF" w:val="clear"/>
          <w:lang w:val="en-US"/>
        </w:rPr>
        <w:t>Rp</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en-US"/>
        </w:rPr>
        <w:t>recipe</w:t>
      </w:r>
      <w:r>
        <w:rPr>
          <w:rFonts w:cs="Times New Roman" w:ascii="Times New Roman" w:hAnsi="Times New Roman"/>
          <w:sz w:val="24"/>
          <w:szCs w:val="24"/>
          <w:shd w:fill="FFFFFF" w:val="clear"/>
        </w:rPr>
        <w:t xml:space="preserve"> – возьми), </w:t>
      </w:r>
      <w:r>
        <w:rPr>
          <w:rFonts w:cs="Times New Roman" w:ascii="Times New Roman" w:hAnsi="Times New Roman"/>
          <w:sz w:val="24"/>
          <w:szCs w:val="24"/>
          <w:shd w:fill="FFFFFF" w:val="clear"/>
          <w:lang w:val="en-US"/>
        </w:rPr>
        <w:t>b</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i</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d</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en-US"/>
        </w:rPr>
        <w:t>bis</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in</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die</w:t>
      </w:r>
      <w:r>
        <w:rPr>
          <w:rFonts w:cs="Times New Roman" w:ascii="Times New Roman" w:hAnsi="Times New Roman"/>
          <w:sz w:val="24"/>
          <w:szCs w:val="24"/>
          <w:shd w:fill="FFFFFF" w:val="clear"/>
        </w:rPr>
        <w:t xml:space="preserve"> – дважды в день), </w:t>
      </w:r>
      <w:r>
        <w:rPr>
          <w:rFonts w:cs="Times New Roman" w:ascii="Times New Roman" w:hAnsi="Times New Roman"/>
          <w:sz w:val="24"/>
          <w:szCs w:val="24"/>
          <w:shd w:fill="FFFFFF" w:val="clear"/>
          <w:lang w:val="en-US"/>
        </w:rPr>
        <w:t>t</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i</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d</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en-US"/>
        </w:rPr>
        <w:t>ter</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in</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die</w:t>
      </w:r>
      <w:r>
        <w:rPr>
          <w:rFonts w:cs="Times New Roman" w:ascii="Times New Roman" w:hAnsi="Times New Roman"/>
          <w:sz w:val="24"/>
          <w:szCs w:val="24"/>
          <w:shd w:fill="FFFFFF" w:val="clear"/>
        </w:rPr>
        <w:t xml:space="preserve"> – трижды в день), </w:t>
      </w:r>
      <w:r>
        <w:rPr>
          <w:rFonts w:cs="Times New Roman" w:ascii="Times New Roman" w:hAnsi="Times New Roman"/>
          <w:sz w:val="24"/>
          <w:szCs w:val="24"/>
          <w:shd w:fill="FFFFFF" w:val="clear"/>
          <w:lang w:val="en-US"/>
        </w:rPr>
        <w:t>h</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s</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en-US"/>
        </w:rPr>
        <w:t>hora</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somni</w:t>
      </w:r>
      <w:r>
        <w:rPr>
          <w:rFonts w:cs="Times New Roman" w:ascii="Times New Roman" w:hAnsi="Times New Roman"/>
          <w:sz w:val="24"/>
          <w:szCs w:val="24"/>
          <w:shd w:fill="FFFFFF" w:val="clear"/>
        </w:rPr>
        <w:t xml:space="preserve"> – до сна), </w:t>
      </w:r>
      <w:r>
        <w:rPr>
          <w:rFonts w:cs="Times New Roman" w:ascii="Times New Roman" w:hAnsi="Times New Roman"/>
          <w:sz w:val="24"/>
          <w:szCs w:val="24"/>
          <w:shd w:fill="FFFFFF" w:val="clear"/>
          <w:lang w:val="en-US"/>
        </w:rPr>
        <w:t>p</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c</w:t>
      </w:r>
      <w:r>
        <w:rPr>
          <w:rFonts w:cs="Times New Roman" w:ascii="Times New Roman" w:hAnsi="Times New Roman"/>
          <w:sz w:val="24"/>
          <w:szCs w:val="24"/>
          <w:shd w:fill="FFFFFF" w:val="clear"/>
        </w:rPr>
        <w:t>. (</w:t>
      </w:r>
      <w:r>
        <w:rPr>
          <w:rFonts w:cs="Times New Roman" w:ascii="Times New Roman" w:hAnsi="Times New Roman"/>
          <w:sz w:val="24"/>
          <w:szCs w:val="24"/>
          <w:shd w:fill="FFFFFF" w:val="clear"/>
          <w:lang w:val="en-US"/>
        </w:rPr>
        <w:t>post</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cibum</w:t>
      </w:r>
      <w:r>
        <w:rPr>
          <w:rFonts w:cs="Times New Roman" w:ascii="Times New Roman" w:hAnsi="Times New Roman"/>
          <w:sz w:val="24"/>
          <w:szCs w:val="24"/>
          <w:shd w:fill="FFFFFF" w:val="clear"/>
        </w:rPr>
        <w:t xml:space="preserve"> — после принятия пищи) и т. д.  Однако современная рецептура начинает в рекомендательном характере отказываться от латинских терминов, заменяя их на более понятные обычному человеку (</w:t>
      </w:r>
      <w:r>
        <w:rPr>
          <w:rFonts w:cs="Times New Roman" w:ascii="Times New Roman" w:hAnsi="Times New Roman"/>
          <w:sz w:val="24"/>
          <w:szCs w:val="24"/>
          <w:shd w:fill="FFFFFF" w:val="clear"/>
          <w:lang w:val="en-US"/>
        </w:rPr>
        <w:t>every</w:t>
      </w:r>
      <w:r>
        <w:rPr>
          <w:rFonts w:cs="Times New Roman" w:ascii="Times New Roman" w:hAnsi="Times New Roman"/>
          <w:sz w:val="24"/>
          <w:szCs w:val="24"/>
          <w:shd w:fill="FFFFFF" w:val="clear"/>
        </w:rPr>
        <w:t xml:space="preserve"> 6 </w:t>
      </w:r>
      <w:r>
        <w:rPr>
          <w:rFonts w:cs="Times New Roman" w:ascii="Times New Roman" w:hAnsi="Times New Roman"/>
          <w:sz w:val="24"/>
          <w:szCs w:val="24"/>
          <w:shd w:fill="FFFFFF" w:val="clear"/>
          <w:lang w:val="en-US"/>
        </w:rPr>
        <w:t>hours</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three</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times</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a</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day</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before</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eating</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etc</w:t>
      </w:r>
      <w:r>
        <w:rPr>
          <w:rFonts w:cs="Times New Roman" w:ascii="Times New Roman" w:hAnsi="Times New Roman"/>
          <w:sz w:val="24"/>
          <w:szCs w:val="24"/>
          <w:shd w:fill="FFFFFF" w:val="clear"/>
        </w:rPr>
        <w:t>.). Данные рекомендации исполняют не все, но латынь в значительной степени покидает современные рецепты, оставаясь в прошлом [</w:t>
      </w:r>
      <w:r>
        <w:rPr>
          <w:rFonts w:eastAsia="NSimSun" w:cs="Times New Roman" w:ascii="Times New Roman" w:hAnsi="Times New Roman"/>
          <w:color w:val="000000"/>
          <w:kern w:val="2"/>
          <w:sz w:val="24"/>
          <w:szCs w:val="24"/>
          <w:shd w:fill="FFFFFF" w:val="clear"/>
          <w:lang w:val="ru-RU" w:eastAsia="zh-CN" w:bidi="hi-IN"/>
        </w:rPr>
        <w:t>1</w:t>
      </w:r>
      <w:r>
        <w:rPr>
          <w:rFonts w:cs="Times New Roman" w:ascii="Times New Roman" w:hAnsi="Times New Roman"/>
          <w:sz w:val="24"/>
          <w:szCs w:val="24"/>
          <w:shd w:fill="FFFFFF" w:val="clear"/>
        </w:rPr>
        <w:t>].</w:t>
      </w:r>
    </w:p>
    <w:p>
      <w:pPr>
        <w:pStyle w:val="Normal"/>
        <w:spacing w:lineRule="auto" w:line="360"/>
        <w:ind w:firstLine="709"/>
        <w:jc w:val="both"/>
        <w:rPr/>
      </w:pPr>
      <w:r>
        <w:rPr>
          <w:rFonts w:cs="Times New Roman" w:ascii="Times New Roman" w:hAnsi="Times New Roman"/>
          <w:sz w:val="24"/>
          <w:szCs w:val="24"/>
          <w:shd w:fill="FFFFFF" w:val="clear"/>
        </w:rPr>
        <w:t>Помимо тех сокращений, что существуют в медицинском рецепте в США и других странах, есть также те, которые раньше были допустимы и применялись, а сейчас находятся под запретом из-за многочисленных ошибок, вызванных их написанием в прошлом. К числу сокращений JCAHO (Joint Commission on Accreditation of Healthcare Organizations) «Do Not Use» относятся такие, как QD (quaque die – каждый день) [</w:t>
      </w:r>
      <w:r>
        <w:rPr>
          <w:rFonts w:eastAsia="NSimSun" w:cs="Times New Roman" w:ascii="Times New Roman" w:hAnsi="Times New Roman"/>
          <w:color w:val="000000"/>
          <w:kern w:val="2"/>
          <w:sz w:val="24"/>
          <w:szCs w:val="24"/>
          <w:shd w:fill="FFFFFF" w:val="clear"/>
          <w:lang w:val="ru-RU" w:eastAsia="zh-CN" w:bidi="hi-IN"/>
        </w:rPr>
        <w:t>1</w:t>
      </w:r>
      <w:r>
        <w:rPr>
          <w:rFonts w:cs="Times New Roman" w:ascii="Times New Roman" w:hAnsi="Times New Roman"/>
          <w:sz w:val="24"/>
          <w:szCs w:val="24"/>
          <w:shd w:fill="FFFFFF" w:val="clear"/>
        </w:rPr>
        <w:t>]. Из-за своей особенности нередко путалась с QiD, что означало “четыре раза в день”), IU (международная единица) и другие сокращения, которые могли в написании при малейшем недочёте в почерке или написании начать нести совсем иной смысл, который мог стать опасным для пациента, вызывая травму или смерть от неправильного применения препарата [</w:t>
      </w:r>
      <w:r>
        <w:rPr>
          <w:rFonts w:eastAsia="NSimSun" w:cs="Times New Roman" w:ascii="Times New Roman" w:hAnsi="Times New Roman"/>
          <w:color w:val="000000"/>
          <w:kern w:val="2"/>
          <w:sz w:val="24"/>
          <w:szCs w:val="24"/>
          <w:shd w:fill="FFFFFF" w:val="clear"/>
          <w:lang w:val="ru-RU" w:eastAsia="zh-CN" w:bidi="hi-IN"/>
        </w:rPr>
        <w:t>8</w:t>
      </w:r>
      <w:r>
        <w:rPr>
          <w:rFonts w:cs="Times New Roman" w:ascii="Times New Roman" w:hAnsi="Times New Roman"/>
          <w:sz w:val="24"/>
          <w:szCs w:val="24"/>
          <w:shd w:fill="FFFFFF" w:val="clear"/>
        </w:rPr>
        <w:t>].</w:t>
      </w:r>
    </w:p>
    <w:p>
      <w:pPr>
        <w:pStyle w:val="Normal"/>
        <w:spacing w:lineRule="auto" w:line="360"/>
        <w:ind w:firstLine="709"/>
        <w:jc w:val="both"/>
        <w:rPr/>
      </w:pPr>
      <w:r>
        <w:rPr>
          <w:rFonts w:cs="Times New Roman" w:ascii="Times New Roman" w:hAnsi="Times New Roman"/>
          <w:sz w:val="24"/>
          <w:szCs w:val="24"/>
          <w:shd w:fill="FFFFFF" w:val="clear"/>
        </w:rPr>
        <w:t>Помимо тех сокращений, что суще</w:t>
      </w:r>
      <w:r>
        <w:rPr>
          <w:rFonts w:cs="Times New Roman" w:ascii="Times New Roman" w:hAnsi="Times New Roman"/>
          <w:sz w:val="24"/>
          <w:szCs w:val="24"/>
        </w:rPr>
        <w:t>ствуют в медицинском рецепте в США и других странах, есть также те, которые раньше были допустимы и применялись, а сейчас находятся под запретом из-за многочисленных ошибок, вызванных их написанием в прошлом. К</w:t>
      </w:r>
      <w:r>
        <w:rPr>
          <w:rFonts w:cs="Times New Roman" w:ascii="Times New Roman" w:hAnsi="Times New Roman"/>
          <w:sz w:val="24"/>
          <w:szCs w:val="24"/>
          <w:lang w:val="en-US"/>
        </w:rPr>
        <w:t xml:space="preserve"> </w:t>
      </w:r>
      <w:r>
        <w:rPr>
          <w:rFonts w:cs="Times New Roman" w:ascii="Times New Roman" w:hAnsi="Times New Roman"/>
          <w:sz w:val="24"/>
          <w:szCs w:val="24"/>
        </w:rPr>
        <w:t>числу</w:t>
      </w:r>
      <w:r>
        <w:rPr>
          <w:rFonts w:cs="Times New Roman" w:ascii="Times New Roman" w:hAnsi="Times New Roman"/>
          <w:sz w:val="24"/>
          <w:szCs w:val="24"/>
          <w:lang w:val="en-US"/>
        </w:rPr>
        <w:t xml:space="preserve"> </w:t>
      </w:r>
      <w:r>
        <w:rPr>
          <w:rFonts w:cs="Times New Roman" w:ascii="Times New Roman" w:hAnsi="Times New Roman"/>
          <w:sz w:val="24"/>
          <w:szCs w:val="24"/>
        </w:rPr>
        <w:t>сокращений</w:t>
      </w:r>
      <w:r>
        <w:rPr>
          <w:rFonts w:cs="Times New Roman" w:ascii="Times New Roman" w:hAnsi="Times New Roman"/>
          <w:sz w:val="24"/>
          <w:szCs w:val="24"/>
          <w:lang w:val="en-US"/>
        </w:rPr>
        <w:t xml:space="preserve"> JCAHO (Joint Commission on Accreditation of Healthcare Organizations) «Do Not Use» </w:t>
      </w:r>
      <w:r>
        <w:rPr>
          <w:rFonts w:cs="Times New Roman" w:ascii="Times New Roman" w:hAnsi="Times New Roman"/>
          <w:sz w:val="24"/>
          <w:szCs w:val="24"/>
        </w:rPr>
        <w:t>относятся</w:t>
      </w:r>
      <w:r>
        <w:rPr>
          <w:rFonts w:cs="Times New Roman" w:ascii="Times New Roman" w:hAnsi="Times New Roman"/>
          <w:sz w:val="24"/>
          <w:szCs w:val="24"/>
          <w:lang w:val="en-US"/>
        </w:rPr>
        <w:t xml:space="preserve"> </w:t>
      </w:r>
      <w:r>
        <w:rPr>
          <w:rFonts w:cs="Times New Roman" w:ascii="Times New Roman" w:hAnsi="Times New Roman"/>
          <w:sz w:val="24"/>
          <w:szCs w:val="24"/>
        </w:rPr>
        <w:t>такие</w:t>
      </w:r>
      <w:r>
        <w:rPr>
          <w:rFonts w:cs="Times New Roman" w:ascii="Times New Roman" w:hAnsi="Times New Roman"/>
          <w:sz w:val="24"/>
          <w:szCs w:val="24"/>
          <w:lang w:val="en-US"/>
        </w:rPr>
        <w:t xml:space="preserve">, </w:t>
      </w:r>
      <w:r>
        <w:rPr>
          <w:rFonts w:cs="Times New Roman" w:ascii="Times New Roman" w:hAnsi="Times New Roman"/>
          <w:sz w:val="24"/>
          <w:szCs w:val="24"/>
        </w:rPr>
        <w:t>как</w:t>
      </w:r>
      <w:r>
        <w:rPr>
          <w:rFonts w:cs="Times New Roman" w:ascii="Times New Roman" w:hAnsi="Times New Roman"/>
          <w:sz w:val="24"/>
          <w:szCs w:val="24"/>
          <w:lang w:val="en-US"/>
        </w:rPr>
        <w:t xml:space="preserve"> QD (quaque die – </w:t>
      </w:r>
      <w:r>
        <w:rPr>
          <w:rFonts w:cs="Times New Roman" w:ascii="Times New Roman" w:hAnsi="Times New Roman"/>
          <w:sz w:val="24"/>
          <w:szCs w:val="24"/>
        </w:rPr>
        <w:t>каждый</w:t>
      </w:r>
      <w:r>
        <w:rPr>
          <w:rFonts w:cs="Times New Roman" w:ascii="Times New Roman" w:hAnsi="Times New Roman"/>
          <w:sz w:val="24"/>
          <w:szCs w:val="24"/>
          <w:lang w:val="en-US"/>
        </w:rPr>
        <w:t xml:space="preserve"> </w:t>
      </w:r>
      <w:r>
        <w:rPr>
          <w:rFonts w:cs="Times New Roman" w:ascii="Times New Roman" w:hAnsi="Times New Roman"/>
          <w:sz w:val="24"/>
          <w:szCs w:val="24"/>
        </w:rPr>
        <w:t>день</w:t>
      </w:r>
      <w:r>
        <w:rPr>
          <w:rFonts w:cs="Times New Roman" w:ascii="Times New Roman" w:hAnsi="Times New Roman"/>
          <w:sz w:val="24"/>
          <w:szCs w:val="24"/>
          <w:lang w:val="en-US"/>
        </w:rPr>
        <w:t>) [</w:t>
      </w:r>
      <w:r>
        <w:rPr>
          <w:rFonts w:eastAsia="NSimSun" w:cs="Times New Roman" w:ascii="Times New Roman" w:hAnsi="Times New Roman"/>
          <w:color w:val="auto"/>
          <w:kern w:val="2"/>
          <w:sz w:val="24"/>
          <w:szCs w:val="24"/>
          <w:lang w:val="en-US" w:eastAsia="zh-CN" w:bidi="hi-IN"/>
        </w:rPr>
        <w:t>1</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Из-за своей особенности нередко путалась с </w:t>
      </w:r>
      <w:r>
        <w:rPr>
          <w:rFonts w:cs="Times New Roman" w:ascii="Times New Roman" w:hAnsi="Times New Roman"/>
          <w:sz w:val="24"/>
          <w:szCs w:val="24"/>
          <w:lang w:val="en-US"/>
        </w:rPr>
        <w:t>QiD</w:t>
      </w:r>
      <w:r>
        <w:rPr>
          <w:rFonts w:cs="Times New Roman" w:ascii="Times New Roman" w:hAnsi="Times New Roman"/>
          <w:sz w:val="24"/>
          <w:szCs w:val="24"/>
        </w:rPr>
        <w:t xml:space="preserve">, что означало “четыре раза в день”), </w:t>
      </w:r>
      <w:r>
        <w:rPr>
          <w:rFonts w:cs="Times New Roman" w:ascii="Times New Roman" w:hAnsi="Times New Roman"/>
          <w:sz w:val="24"/>
          <w:szCs w:val="24"/>
          <w:lang w:val="en-US"/>
        </w:rPr>
        <w:t>IU</w:t>
      </w:r>
      <w:r>
        <w:rPr>
          <w:rFonts w:cs="Times New Roman" w:ascii="Times New Roman" w:hAnsi="Times New Roman"/>
          <w:sz w:val="24"/>
          <w:szCs w:val="24"/>
        </w:rPr>
        <w:t xml:space="preserve"> (международная единица) и другие сокращения, которые могли в написании при малейшем недочёте в почерке или написании начать нести совсем иной смысл, который мог стать опасным для пациента, вызывая травму или смерть от неправильного применения препарата [</w:t>
      </w:r>
      <w:r>
        <w:rPr>
          <w:rFonts w:eastAsia="NSimSun" w:cs="Times New Roman" w:ascii="Times New Roman" w:hAnsi="Times New Roman"/>
          <w:color w:val="auto"/>
          <w:kern w:val="2"/>
          <w:sz w:val="24"/>
          <w:szCs w:val="24"/>
          <w:lang w:val="ru-RU" w:eastAsia="zh-CN" w:bidi="hi-IN"/>
        </w:rPr>
        <w:t>8</w:t>
      </w:r>
      <w:r>
        <w:rPr>
          <w:rFonts w:cs="Times New Roman" w:ascii="Times New Roman" w:hAnsi="Times New Roman"/>
          <w:sz w:val="24"/>
          <w:szCs w:val="24"/>
        </w:rPr>
        <w:t>].</w:t>
      </w:r>
    </w:p>
    <w:p>
      <w:pPr>
        <w:pStyle w:val="Normal"/>
        <w:spacing w:lineRule="auto" w:line="360"/>
        <w:ind w:firstLine="709"/>
        <w:jc w:val="both"/>
        <w:rPr>
          <w:sz w:val="24"/>
          <w:szCs w:val="24"/>
        </w:rPr>
      </w:pPr>
      <w:r>
        <w:rPr>
          <w:rFonts w:cs="Times New Roman" w:ascii="Times New Roman" w:hAnsi="Times New Roman"/>
          <w:sz w:val="24"/>
          <w:szCs w:val="24"/>
        </w:rPr>
        <w:t>На осно</w:t>
      </w:r>
      <w:r>
        <w:rPr>
          <w:rFonts w:cs="Times New Roman" w:ascii="Times New Roman" w:hAnsi="Times New Roman"/>
          <w:sz w:val="24"/>
          <w:szCs w:val="24"/>
          <w:shd w:fill="FFFFFF" w:val="clear"/>
        </w:rPr>
        <w:t>ве полученных данных</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определены особенности написания медицинской рецептуры и её структурно-лингвистической характеристике. Медицинский рецепт является универсальным документом, который применим в медицине повсеместно, поскольку является наиболее чёткой и удобной формой предписания необходимых пациенту лекарственных средств. Ввиду своей удобности данный формат врачебных предписаний стал мировым стандартом. В современной медицинской практике применяются рецепты, написанные на более удобном и доступном языке для врача и пациента, латинский язык постепенно исчезает из рецептуры, что облегчает чтение рецепта для человека, не имеющего медицинского образования. Количественный анализ показал, что в рецепте существительные составляют 42,2%, а числительные – 31,4%, поскольку они используются для указания лекарств и дозировок, выполняя этим основную функцию рецепта. Остальные части речи применимы для описания условий выдачи и приёма лекарств, что также важно, но встречается реже. </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pageBreakBefore w:val="false"/>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Список использованных источников и литературы:</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sz w:val="24"/>
          <w:szCs w:val="24"/>
        </w:rPr>
      </w:pPr>
      <w:r>
        <w:rPr>
          <w:rFonts w:cs="Times New Roman" w:ascii="Times New Roman" w:hAnsi="Times New Roman"/>
          <w:sz w:val="24"/>
          <w:szCs w:val="24"/>
        </w:rPr>
        <w:t>1. Кондратьев Д. К., Балинская К. В. Особенности оформления рецепта на латинском языке в мировой медицинской практике / Журнал Гродненского государственного медицинского университета — 2015 — № 4 — С. 123-126</w:t>
      </w:r>
    </w:p>
    <w:p>
      <w:pPr>
        <w:pStyle w:val="Normal"/>
        <w:spacing w:lineRule="auto" w:line="360"/>
        <w:jc w:val="both"/>
        <w:rPr>
          <w:sz w:val="24"/>
          <w:szCs w:val="24"/>
        </w:rPr>
      </w:pPr>
      <w:r>
        <w:rPr>
          <w:rFonts w:cs="Times New Roman" w:ascii="Times New Roman" w:hAnsi="Times New Roman"/>
          <w:color w:val="1B1B1B"/>
          <w:sz w:val="24"/>
          <w:szCs w:val="24"/>
        </w:rPr>
        <w:t xml:space="preserve">2. Кустова Г. И. Лексикология / Кустова Г.И. // Большая российская энциклопедия. </w:t>
      </w:r>
      <w:r>
        <w:rPr>
          <w:rFonts w:cs="Times New Roman" w:ascii="Times New Roman" w:hAnsi="Times New Roman"/>
          <w:color w:val="1B1B1B"/>
          <w:sz w:val="24"/>
          <w:szCs w:val="24"/>
          <w:lang w:val="en-US"/>
        </w:rPr>
        <w:t>URL</w:t>
      </w:r>
      <w:r>
        <w:rPr>
          <w:rFonts w:cs="Times New Roman" w:ascii="Times New Roman" w:hAnsi="Times New Roman"/>
          <w:color w:val="1B1B1B"/>
          <w:sz w:val="24"/>
          <w:szCs w:val="24"/>
        </w:rPr>
        <w:t xml:space="preserve">: </w:t>
      </w:r>
      <w:r>
        <w:rPr>
          <w:rFonts w:cs="Times New Roman" w:ascii="Times New Roman" w:hAnsi="Times New Roman"/>
          <w:color w:val="1B1B1B"/>
          <w:sz w:val="24"/>
          <w:szCs w:val="24"/>
          <w:lang w:val="en-US"/>
        </w:rPr>
        <w:t>https</w:t>
      </w:r>
      <w:r>
        <w:rPr>
          <w:rFonts w:cs="Times New Roman" w:ascii="Times New Roman" w:hAnsi="Times New Roman"/>
          <w:color w:val="1B1B1B"/>
          <w:sz w:val="24"/>
          <w:szCs w:val="24"/>
        </w:rPr>
        <w:t>://</w:t>
      </w:r>
      <w:r>
        <w:rPr>
          <w:rFonts w:cs="Times New Roman" w:ascii="Times New Roman" w:hAnsi="Times New Roman"/>
          <w:color w:val="1B1B1B"/>
          <w:sz w:val="24"/>
          <w:szCs w:val="24"/>
          <w:lang w:val="en-US"/>
        </w:rPr>
        <w:t>bigenc</w:t>
      </w:r>
      <w:r>
        <w:rPr>
          <w:rFonts w:cs="Times New Roman" w:ascii="Times New Roman" w:hAnsi="Times New Roman"/>
          <w:color w:val="1B1B1B"/>
          <w:sz w:val="24"/>
          <w:szCs w:val="24"/>
        </w:rPr>
        <w:t>.</w:t>
      </w:r>
      <w:r>
        <w:rPr>
          <w:rFonts w:cs="Times New Roman" w:ascii="Times New Roman" w:hAnsi="Times New Roman"/>
          <w:color w:val="1B1B1B"/>
          <w:sz w:val="24"/>
          <w:szCs w:val="24"/>
          <w:lang w:val="en-US"/>
        </w:rPr>
        <w:t>ru</w:t>
      </w:r>
      <w:r>
        <w:rPr>
          <w:rFonts w:cs="Times New Roman" w:ascii="Times New Roman" w:hAnsi="Times New Roman"/>
          <w:color w:val="1B1B1B"/>
          <w:sz w:val="24"/>
          <w:szCs w:val="24"/>
        </w:rPr>
        <w:t>/</w:t>
      </w:r>
      <w:r>
        <w:rPr>
          <w:rFonts w:cs="Times New Roman" w:ascii="Times New Roman" w:hAnsi="Times New Roman"/>
          <w:color w:val="1B1B1B"/>
          <w:sz w:val="24"/>
          <w:szCs w:val="24"/>
          <w:lang w:val="en-US"/>
        </w:rPr>
        <w:t>linguistics</w:t>
      </w:r>
      <w:r>
        <w:rPr>
          <w:rFonts w:cs="Times New Roman" w:ascii="Times New Roman" w:hAnsi="Times New Roman"/>
          <w:color w:val="1B1B1B"/>
          <w:sz w:val="24"/>
          <w:szCs w:val="24"/>
        </w:rPr>
        <w:t>/</w:t>
      </w:r>
      <w:r>
        <w:rPr>
          <w:rFonts w:cs="Times New Roman" w:ascii="Times New Roman" w:hAnsi="Times New Roman"/>
          <w:color w:val="1B1B1B"/>
          <w:sz w:val="24"/>
          <w:szCs w:val="24"/>
          <w:lang w:val="en-US"/>
        </w:rPr>
        <w:t>text</w:t>
      </w:r>
      <w:r>
        <w:rPr>
          <w:rFonts w:cs="Times New Roman" w:ascii="Times New Roman" w:hAnsi="Times New Roman"/>
          <w:color w:val="1B1B1B"/>
          <w:sz w:val="24"/>
          <w:szCs w:val="24"/>
        </w:rPr>
        <w:t>/2138397 (дата обращения: 28.03.2021)</w:t>
      </w:r>
    </w:p>
    <w:p>
      <w:pPr>
        <w:pStyle w:val="Normal"/>
        <w:spacing w:lineRule="auto" w:line="360"/>
        <w:jc w:val="both"/>
        <w:rPr>
          <w:sz w:val="24"/>
          <w:szCs w:val="24"/>
        </w:rPr>
      </w:pPr>
      <w:r>
        <w:rPr>
          <w:rFonts w:cs="Times New Roman" w:ascii="Times New Roman" w:hAnsi="Times New Roman"/>
          <w:color w:val="1B1B1B"/>
          <w:sz w:val="24"/>
          <w:szCs w:val="24"/>
          <w:lang w:val="en-US"/>
        </w:rPr>
        <w:t>3</w:t>
      </w:r>
      <w:r>
        <w:rPr>
          <w:rFonts w:cs="Times New Roman" w:ascii="Times New Roman" w:hAnsi="Times New Roman"/>
          <w:color w:val="1B1B1B"/>
          <w:sz w:val="24"/>
          <w:szCs w:val="24"/>
        </w:rPr>
        <w:t xml:space="preserve">. Мусохранова, М. Б.  Пособие по латинскому языку для студентов фармацевтического факультета заочной формы обучения. / М. Б. Мусохранова – 2008. – </w:t>
      </w:r>
      <w:r>
        <w:rPr>
          <w:rFonts w:cs="Times New Roman" w:ascii="Times New Roman" w:hAnsi="Times New Roman"/>
          <w:color w:val="1B1B1B"/>
          <w:sz w:val="24"/>
          <w:szCs w:val="24"/>
          <w:lang w:val="en-US"/>
        </w:rPr>
        <w:t>URL</w:t>
      </w:r>
      <w:r>
        <w:rPr>
          <w:rFonts w:cs="Times New Roman" w:ascii="Times New Roman" w:hAnsi="Times New Roman"/>
          <w:color w:val="1B1B1B"/>
          <w:sz w:val="24"/>
          <w:szCs w:val="24"/>
        </w:rPr>
        <w:t>:  https://ua1lib.org/book/3082653/463427?regionChanged=&amp;</w:t>
      </w:r>
      <w:r>
        <w:rPr>
          <w:rFonts w:cs="Times New Roman" w:ascii="Times New Roman" w:hAnsi="Times New Roman"/>
          <w:color w:val="1B1B1B"/>
          <w:sz w:val="24"/>
          <w:szCs w:val="24"/>
          <w:lang w:val="en-US"/>
        </w:rPr>
        <w:t>redirect</w:t>
      </w:r>
      <w:r>
        <w:rPr>
          <w:rFonts w:cs="Times New Roman" w:ascii="Times New Roman" w:hAnsi="Times New Roman"/>
          <w:color w:val="1B1B1B"/>
          <w:sz w:val="24"/>
          <w:szCs w:val="24"/>
        </w:rPr>
        <w:t>=214510143</w:t>
      </w:r>
    </w:p>
    <w:p>
      <w:pPr>
        <w:pStyle w:val="Normal"/>
        <w:spacing w:lineRule="auto" w:line="360"/>
        <w:jc w:val="both"/>
        <w:rPr>
          <w:sz w:val="24"/>
          <w:szCs w:val="24"/>
        </w:rPr>
      </w:pPr>
      <w:r>
        <w:rPr>
          <w:rFonts w:cs="Times New Roman" w:ascii="Times New Roman" w:hAnsi="Times New Roman"/>
          <w:color w:val="1B1B1B"/>
          <w:sz w:val="24"/>
          <w:szCs w:val="24"/>
        </w:rPr>
        <w:t>4. Петрище Т.Л., Глушанко В.С., Кугач В.В., Малахова П.С. Неточности и ошибки в рецептах врача и пути их сокращения // Вестник ВГМУ. 2016. №4. URL: https://cyberleninka.ru/article/n/netochnosti-i-oshibki-v-retseptah-vracha-i-puti-ih-sokrascheniya (дата обращения: 14.03.2021).</w:t>
      </w:r>
    </w:p>
    <w:p>
      <w:pPr>
        <w:pStyle w:val="Normal"/>
        <w:spacing w:lineRule="auto" w:line="360"/>
        <w:jc w:val="both"/>
        <w:rPr>
          <w:sz w:val="24"/>
          <w:szCs w:val="24"/>
        </w:rPr>
      </w:pPr>
      <w:r>
        <w:rPr>
          <w:rFonts w:cs="Times New Roman" w:ascii="Times New Roman" w:hAnsi="Times New Roman"/>
          <w:color w:val="1B1B1B"/>
          <w:sz w:val="24"/>
          <w:szCs w:val="24"/>
        </w:rPr>
        <w:t>5. Пономаренко Л. Н., Мишутинская Е. А., Злобина И. С. Лингвостилистические особенности медицинских текстов в переводческом аспекте // Гуманитарная парадигма. 2018. № 1 (4). – С. 9 – 14.</w:t>
      </w:r>
    </w:p>
    <w:p>
      <w:pPr>
        <w:pStyle w:val="Normal"/>
        <w:spacing w:lineRule="auto" w:line="360"/>
        <w:jc w:val="both"/>
        <w:rPr>
          <w:sz w:val="24"/>
          <w:szCs w:val="24"/>
        </w:rPr>
      </w:pPr>
      <w:r>
        <w:rPr>
          <w:rFonts w:cs="Times New Roman" w:ascii="Times New Roman" w:hAnsi="Times New Roman"/>
          <w:color w:val="1B1B1B"/>
          <w:sz w:val="24"/>
          <w:szCs w:val="24"/>
        </w:rPr>
        <w:t>6. Эль Муссави Мохамад Абд Эль Хуссейн, Мироненкова Ж.В., Габдулхакова Л.М., Лиходед Т.А. Анализ особенностей выписывания рецептов на лекарственные препараты в Ливанской Республике // Медицинский вестник Башкортостана. 2018. №3 (75). URL: https://cyberleninka.ru/article/n/analiz-osobennostey-vypisyvaniya-retseptov-na-lekarstvennye-preparaty-v-livanskoy-respublike (дата обращения: 16.03.2021).</w:t>
      </w:r>
    </w:p>
    <w:p>
      <w:pPr>
        <w:pStyle w:val="Normal"/>
        <w:spacing w:lineRule="auto" w:line="360"/>
        <w:jc w:val="both"/>
        <w:rPr>
          <w:sz w:val="24"/>
          <w:szCs w:val="24"/>
        </w:rPr>
      </w:pPr>
      <w:r>
        <w:rPr>
          <w:rFonts w:cs="Times New Roman" w:ascii="Times New Roman" w:hAnsi="Times New Roman"/>
          <w:sz w:val="24"/>
          <w:szCs w:val="24"/>
          <w:lang w:val="en-US"/>
        </w:rPr>
        <w:t xml:space="preserve">7. A&amp;E Prescription / Royal Free London NHS Foundation Trust  – 2020. </w:t>
      </w:r>
    </w:p>
    <w:p>
      <w:pPr>
        <w:pStyle w:val="Normal"/>
        <w:spacing w:lineRule="auto" w:line="360"/>
        <w:jc w:val="both"/>
        <w:rPr>
          <w:sz w:val="24"/>
          <w:szCs w:val="24"/>
        </w:rPr>
      </w:pPr>
      <w:r>
        <w:rPr>
          <w:rFonts w:cs="Times New Roman" w:ascii="Times New Roman" w:hAnsi="Times New Roman"/>
          <w:sz w:val="24"/>
          <w:szCs w:val="24"/>
          <w:lang w:val="en-US"/>
        </w:rPr>
        <w:t>8. Prescription Writing 101 (with Example Prescriptions) [Electronic resource] / Medical School Headquarters / URL: https://medicalschoolhq.net/prescription-writing-101/ (</w:t>
      </w:r>
      <w:r>
        <w:rPr>
          <w:rFonts w:cs="Times New Roman" w:ascii="Times New Roman" w:hAnsi="Times New Roman"/>
          <w:sz w:val="24"/>
          <w:szCs w:val="24"/>
        </w:rPr>
        <w:t>Дата</w:t>
      </w:r>
      <w:r>
        <w:rPr>
          <w:rFonts w:cs="Times New Roman" w:ascii="Times New Roman" w:hAnsi="Times New Roman"/>
          <w:sz w:val="24"/>
          <w:szCs w:val="24"/>
          <w:lang w:val="en-US"/>
        </w:rPr>
        <w:t xml:space="preserve"> </w:t>
      </w:r>
      <w:r>
        <w:rPr>
          <w:rFonts w:cs="Times New Roman" w:ascii="Times New Roman" w:hAnsi="Times New Roman"/>
          <w:sz w:val="24"/>
          <w:szCs w:val="24"/>
        </w:rPr>
        <w:t>обращения</w:t>
      </w:r>
      <w:r>
        <w:rPr>
          <w:rFonts w:cs="Times New Roman" w:ascii="Times New Roman" w:hAnsi="Times New Roman"/>
          <w:sz w:val="24"/>
          <w:szCs w:val="24"/>
          <w:lang w:val="en-US"/>
        </w:rPr>
        <w:t>: 17.12.2020).</w:t>
      </w:r>
    </w:p>
    <w:p>
      <w:pPr>
        <w:pStyle w:val="Normal"/>
        <w:spacing w:lineRule="auto" w:line="360"/>
        <w:jc w:val="both"/>
        <w:rPr>
          <w:rFonts w:ascii="Times New Roman" w:hAnsi="Times New Roman" w:cs="Times New Roman"/>
          <w:color w:val="1B1B1B"/>
        </w:rPr>
      </w:pPr>
      <w:r>
        <w:rPr/>
      </w:r>
    </w:p>
    <w:sectPr>
      <w:type w:val="nextPage"/>
      <w:pgSz w:w="11906" w:h="16838"/>
      <w:pgMar w:left="1412" w:right="1134" w:header="0"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643"/>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Liberation Serif;Times New Roman" w:hAnsi="Liberation Serif;Times New Roman" w:eastAsia="NSimSun" w:cs="Lucida Sans;Times New Roman"/>
      <w:color w:val="auto"/>
      <w:kern w:val="2"/>
      <w:sz w:val="24"/>
      <w:szCs w:val="24"/>
      <w:lang w:val="ru-RU" w:eastAsia="zh-CN" w:bidi="hi-IN"/>
    </w:rPr>
  </w:style>
  <w:style w:type="paragraph" w:styleId="1">
    <w:name w:val="Heading 1"/>
    <w:basedOn w:val="Style19"/>
    <w:next w:val="Style20"/>
    <w:qFormat/>
    <w:pPr>
      <w:numPr>
        <w:ilvl w:val="0"/>
        <w:numId w:val="1"/>
      </w:numPr>
      <w:outlineLvl w:val="0"/>
    </w:pPr>
    <w:rPr>
      <w:rFonts w:ascii="Liberation Serif;Times New Roman" w:hAnsi="Liberation Serif;Times New Roman" w:eastAsia="NSimSun" w:cs="Liberation Serif;Times New Roman"/>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11">
    <w:name w:val="Основной шрифт абзаца1"/>
    <w:qFormat/>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Style14">
    <w:name w:val="Символ сноски"/>
    <w:qFormat/>
    <w:rPr/>
  </w:style>
  <w:style w:type="character" w:styleId="12">
    <w:name w:val="Знак сноски1"/>
    <w:qFormat/>
    <w:rPr>
      <w:vertAlign w:val="superscript"/>
    </w:rPr>
  </w:style>
  <w:style w:type="character" w:styleId="13">
    <w:name w:val="Выделение1"/>
    <w:qFormat/>
    <w:rPr>
      <w:i/>
      <w:iCs/>
    </w:rPr>
  </w:style>
  <w:style w:type="character" w:styleId="Style15">
    <w:name w:val="Интернет-ссылка"/>
    <w:rPr>
      <w:color w:val="000080"/>
      <w:u w:val="single"/>
    </w:rPr>
  </w:style>
  <w:style w:type="character" w:styleId="Style16">
    <w:name w:val="Текст примечания Знак"/>
    <w:basedOn w:val="DefaultParagraphFont"/>
    <w:qFormat/>
    <w:rPr>
      <w:rFonts w:cs="Mangal"/>
      <w:sz w:val="20"/>
      <w:szCs w:val="18"/>
    </w:rPr>
  </w:style>
  <w:style w:type="character" w:styleId="Style17">
    <w:name w:val="Тема примечания Знак"/>
    <w:basedOn w:val="Style16"/>
    <w:qFormat/>
    <w:rPr>
      <w:rFonts w:cs="Mangal"/>
      <w:b/>
      <w:bCs/>
      <w:sz w:val="20"/>
      <w:szCs w:val="18"/>
    </w:rPr>
  </w:style>
  <w:style w:type="character" w:styleId="Style18">
    <w:name w:val="Текст выноски Знак"/>
    <w:basedOn w:val="DefaultParagraphFont"/>
    <w:qFormat/>
    <w:rPr>
      <w:rFonts w:ascii="Tahoma" w:hAnsi="Tahoma" w:cs="Mangal"/>
      <w:sz w:val="16"/>
      <w:szCs w:val="14"/>
    </w:rPr>
  </w:style>
  <w:style w:type="character" w:styleId="2">
    <w:name w:val="Выделение2"/>
    <w:qFormat/>
    <w:rPr>
      <w:i/>
      <w:iCs/>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Liberation Sans;Arial"/>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Style24">
    <w:name w:val="Название объекта"/>
    <w:basedOn w:val="Normal"/>
    <w:qFormat/>
    <w:pPr>
      <w:suppressLineNumbers/>
      <w:spacing w:before="120" w:after="120"/>
    </w:pPr>
    <w:rPr>
      <w:rFonts w:cs="Lucida Sans;Times New Roman"/>
      <w:i/>
      <w:iCs/>
      <w:sz w:val="24"/>
      <w:szCs w:val="24"/>
    </w:rPr>
  </w:style>
  <w:style w:type="paragraph" w:styleId="3">
    <w:name w:val="Указатель3"/>
    <w:basedOn w:val="Normal"/>
    <w:qFormat/>
    <w:pPr>
      <w:suppressLineNumbers/>
    </w:pPr>
    <w:rPr>
      <w:rFonts w:cs="Lucida Sans;Times New Roman"/>
    </w:rPr>
  </w:style>
  <w:style w:type="paragraph" w:styleId="14">
    <w:name w:val="Название объекта1"/>
    <w:basedOn w:val="Normal"/>
    <w:qFormat/>
    <w:pPr>
      <w:suppressLineNumbers/>
      <w:spacing w:before="120" w:after="120"/>
    </w:pPr>
    <w:rPr>
      <w:rFonts w:cs="Lucida Sans;Times New Roman"/>
      <w:i/>
      <w:iCs/>
      <w:sz w:val="24"/>
      <w:szCs w:val="24"/>
    </w:rPr>
  </w:style>
  <w:style w:type="paragraph" w:styleId="21">
    <w:name w:val="Указатель2"/>
    <w:basedOn w:val="Normal"/>
    <w:qFormat/>
    <w:pPr>
      <w:suppressLineNumbers/>
    </w:pPr>
    <w:rPr>
      <w:rFonts w:cs="Lucida Sans;Times New Roman"/>
    </w:rPr>
  </w:style>
  <w:style w:type="paragraph" w:styleId="BalloonText">
    <w:name w:val="Balloon Text"/>
    <w:basedOn w:val="Normal"/>
    <w:qFormat/>
    <w:pPr/>
    <w:rPr>
      <w:rFonts w:ascii="Tahoma" w:hAnsi="Tahoma" w:cs="Mangal"/>
      <w:sz w:val="16"/>
      <w:szCs w:val="14"/>
    </w:rPr>
  </w:style>
  <w:style w:type="paragraph" w:styleId="Caption">
    <w:name w:val="caption"/>
    <w:basedOn w:val="Normal"/>
    <w:next w:val="Normal"/>
    <w:qFormat/>
    <w:pPr>
      <w:suppressLineNumbers/>
      <w:spacing w:before="120" w:after="120"/>
    </w:pPr>
    <w:rPr>
      <w:i/>
      <w:iCs/>
    </w:rPr>
  </w:style>
  <w:style w:type="paragraph" w:styleId="Annotationtext">
    <w:name w:val="annotation text"/>
    <w:basedOn w:val="Normal"/>
    <w:qFormat/>
    <w:pPr/>
    <w:rPr>
      <w:rFonts w:cs="Mangal"/>
      <w:sz w:val="20"/>
      <w:szCs w:val="18"/>
    </w:rPr>
  </w:style>
  <w:style w:type="paragraph" w:styleId="Index1">
    <w:name w:val="index 1"/>
    <w:basedOn w:val="Normal"/>
    <w:next w:val="Normal"/>
    <w:qFormat/>
    <w:pPr/>
    <w:rPr/>
  </w:style>
  <w:style w:type="paragraph" w:styleId="Annotationsubject">
    <w:name w:val="annotation subject"/>
    <w:basedOn w:val="Annotationtext"/>
    <w:next w:val="Annotationtext"/>
    <w:qFormat/>
    <w:pPr/>
    <w:rPr>
      <w:b/>
      <w:bCs/>
    </w:rPr>
  </w:style>
  <w:style w:type="paragraph" w:styleId="Style25">
    <w:name w:val="Footnote Text"/>
    <w:basedOn w:val="Normal"/>
    <w:pPr>
      <w:suppressLineNumbers/>
      <w:ind w:left="339" w:right="0" w:hanging="339"/>
    </w:pPr>
    <w:rPr>
      <w:sz w:val="20"/>
      <w:szCs w:val="20"/>
    </w:rPr>
  </w:style>
  <w:style w:type="paragraph" w:styleId="Style26">
    <w:name w:val="Верхний и нижний колонтитулы"/>
    <w:basedOn w:val="Normal"/>
    <w:qFormat/>
    <w:pPr>
      <w:suppressLineNumbers/>
      <w:tabs>
        <w:tab w:val="clear" w:pos="643"/>
        <w:tab w:val="center" w:pos="4680" w:leader="none"/>
        <w:tab w:val="right" w:pos="9360" w:leader="none"/>
      </w:tabs>
    </w:pPr>
    <w:rPr/>
  </w:style>
  <w:style w:type="paragraph" w:styleId="Style27">
    <w:name w:val="Header"/>
    <w:basedOn w:val="Style26"/>
    <w:pPr>
      <w:suppressLineNumbers/>
    </w:pPr>
    <w:rPr/>
  </w:style>
  <w:style w:type="paragraph" w:styleId="Indexheading">
    <w:name w:val="index heading"/>
    <w:basedOn w:val="Normal"/>
    <w:next w:val="Index1"/>
    <w:qFormat/>
    <w:pPr>
      <w:suppressLineNumbers/>
    </w:pPr>
    <w:rPr/>
  </w:style>
  <w:style w:type="paragraph" w:styleId="Style28">
    <w:name w:val="Subtitle"/>
    <w:basedOn w:val="Style19"/>
    <w:next w:val="Style20"/>
    <w:qFormat/>
    <w:pPr>
      <w:ind w:left="0" w:right="0" w:firstLine="709"/>
    </w:pPr>
    <w:rPr/>
  </w:style>
  <w:style w:type="paragraph" w:styleId="121">
    <w:name w:val="Указатель12"/>
    <w:basedOn w:val="Normal"/>
    <w:qFormat/>
    <w:pPr>
      <w:suppressLineNumbers/>
    </w:pPr>
    <w:rPr>
      <w:rFonts w:cs="Lucida Sans;Times New Roman"/>
    </w:rPr>
  </w:style>
  <w:style w:type="paragraph" w:styleId="111">
    <w:name w:val="Указатель11"/>
    <w:basedOn w:val="Normal"/>
    <w:qFormat/>
    <w:pPr>
      <w:suppressLineNumbers/>
    </w:pPr>
    <w:rPr/>
  </w:style>
  <w:style w:type="paragraph" w:styleId="15">
    <w:name w:val="Указатель1"/>
    <w:basedOn w:val="Normal"/>
    <w:qFormat/>
    <w:pPr>
      <w:suppressLineNumbers/>
    </w:pPr>
    <w:rPr/>
  </w:style>
  <w:style w:type="paragraph" w:styleId="Style29">
    <w:name w:val="Содержимое таблицы"/>
    <w:basedOn w:val="Normal"/>
    <w:qFormat/>
    <w:pPr>
      <w:widowControl w:val="false"/>
      <w:suppressLineNumbers/>
    </w:pPr>
    <w:rPr/>
  </w:style>
  <w:style w:type="paragraph" w:styleId="Style30">
    <w:name w:val="Иллюстрация"/>
    <w:basedOn w:val="Caption"/>
    <w:qFormat/>
    <w:pPr/>
    <w:rPr/>
  </w:style>
  <w:style w:type="paragraph" w:styleId="Style31">
    <w:name w:val="Содержимое врезки"/>
    <w:basedOn w:val="Normal"/>
    <w:qFormat/>
    <w:pPr/>
    <w:rPr/>
  </w:style>
  <w:style w:type="paragraph" w:styleId="Style32">
    <w:name w:val="Текст в заданном формате"/>
    <w:basedOn w:val="Normal"/>
    <w:qFormat/>
    <w:pPr/>
    <w:rPr>
      <w:rFonts w:ascii="Liberation Mono;Courier New" w:hAnsi="Liberation Mono;Courier New" w:cs="Liberation Mono;Courier New"/>
      <w:sz w:val="20"/>
      <w:szCs w:val="20"/>
    </w:rPr>
  </w:style>
  <w:style w:type="paragraph" w:styleId="Style33">
    <w:name w:val="Заголовок таблицы"/>
    <w:basedOn w:val="Style29"/>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64</TotalTime>
  <Application>LibreOffice/7.0.3.1$Windows_X86_64 LibreOffice_project/d7547858d014d4cf69878db179d326fc3483e082</Application>
  <Pages>5</Pages>
  <Words>1229</Words>
  <Characters>8496</Characters>
  <CharactersWithSpaces>9716</CharactersWithSpaces>
  <Paragraphs>43</Paragraphs>
  <Company>SPecialiST RePack_x005F_x0000__x005F_x0000_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2020-12-09T16:02:00Z</dcterms:created>
  <dc:creator>ASUS_PC</dc:creator>
  <dc:description/>
  <cp:keywords>  </cp:keywords>
  <dc:language>ru-RU</dc:language>
  <cp:lastModifiedBy/>
  <dcterms:modified xsi:type="dcterms:W3CDTF">2021-11-12T14:20:32Z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RePack_x005F_x0000__x005F_x0000_</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1049-11.2.0.9635_x0000__x0000__x0000_</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